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600"/>
        <w:gridCol w:w="1600"/>
        <w:gridCol w:w="1600"/>
        <w:gridCol w:w="1600"/>
        <w:gridCol w:w="2000"/>
        <w:gridCol w:w="400"/>
        <w:gridCol w:w="400"/>
        <w:gridCol w:w="400"/>
        <w:gridCol w:w="2000"/>
        <w:gridCol w:w="1400"/>
        <w:gridCol w:w="994"/>
        <w:gridCol w:w="806"/>
        <w:gridCol w:w="895"/>
        <w:gridCol w:w="345"/>
      </w:tblGrid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994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06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95" w:type="dxa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6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r>
              <w:rPr>
                <w:rFonts w:ascii="DejaVu Sans" w:eastAsia="DejaVu Sans" w:hAnsi="DejaVu Sans" w:cs="DejaVu Sans"/>
                <w:color w:val="000000"/>
                <w:sz w:val="24"/>
              </w:rPr>
              <w:t xml:space="preserve"> Plan integriteta</w:t>
            </w: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6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r>
              <w:rPr>
                <w:rFonts w:ascii="SansSerif" w:eastAsia="SansSerif" w:hAnsi="SansSerif" w:cs="SansSerif"/>
                <w:color w:val="000000"/>
                <w:sz w:val="24"/>
              </w:rPr>
              <w:t xml:space="preserve"> JU škola za osnovno i srednje muzičko obrazovanje „Dara Čokorilo“ Nikšić</w:t>
            </w: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2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REGISTAR RIZIKA</w:t>
            </w:r>
          </w:p>
        </w:tc>
        <w:tc>
          <w:tcPr>
            <w:tcW w:w="4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PROCJENE I MJERENJE RIZIKA</w:t>
            </w:r>
          </w:p>
        </w:tc>
        <w:tc>
          <w:tcPr>
            <w:tcW w:w="43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REAGOVANJE NA RIZIK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PREGLED I IZVJEŠTAVANJE O RIZICIMA</w:t>
            </w: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9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Oblasti rizika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Radna mjesta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Osnovni rizici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Postojeće mjere kontrole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Preostali rizici(rezidualni)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Vjer.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Posljedice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8BD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Procjena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Predložene mjere za smanjenje/otklanjanje rizika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Ogovorna osoba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Rok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St.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87E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17DB" w:rsidRDefault="000E7286">
            <w:pPr>
              <w:ind w:left="80" w:right="80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Kratak opis i ocjena realizacije mjere</w:t>
            </w: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5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Povrede profesionalnih, etičkih pravila i pristrasno ponašanje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odluka pod eksternim uticajem, suprotno javnom interesu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Puna transparentnost u procedurama odlučivanja u oblastima iz nadležnosti direktora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994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06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95" w:type="dxa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2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Donošenje nezakonitih odluka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radu</w:t>
                        </w:r>
                      </w:p>
                    </w:tc>
                  </w:tr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Opšti zakon o obrazovanju i vaspitanju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Nepoštovanje zakona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Nezakonito donošenje odluka pri procesu zapošljavanja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Puna transparentnost u procedurama odlučivanja u oblastima iz nadležnosti direktora.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Odluke/akte učiniti dostupnim na uvid svim zaposlenima;direktor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994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06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95" w:type="dxa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5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pravila i procedure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15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Puna transparentnost u procedurama odlučivanja u oblastima iz nadležnosti direktora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6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20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40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994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06" w:type="dxa"/>
          </w:tcPr>
          <w:p w:rsidR="008817DB" w:rsidRDefault="008817DB">
            <w:pPr>
              <w:pStyle w:val="EMPTYCELLSTYLE"/>
            </w:pPr>
          </w:p>
        </w:tc>
        <w:tc>
          <w:tcPr>
            <w:tcW w:w="895" w:type="dxa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4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4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4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poklona i odsustvo evidencije poklona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nedozvoljenih poklona ili druge nedozvoljene koristi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Uvesti periodičnu obavezu da prevencija korupcije bude tema sastanka i razgovora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6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4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4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3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korupcije i drugih nezakonitih radnji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poklona i odsustvo evidencije poklona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nedozvoljenih poklona ili druge nedozvoljene koristi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Redovna kontrola evidencije o primljenim poklonima direktora.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5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Izvještaj o radu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Narušavanje integriteta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Razmotriti preporuke koje se odnose na razvoj škole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2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Iskorišćavanje javne funkcije ili službenog položaja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Evidentiranje primljenih poklona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nepotpuno dostavljannje izvještaja o imovini I prihodima javnog funkcionera – direktora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Primanje poklona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dostavljanje izvještaja o imovini I prihodima javnog funkcionera Agenciji za sprečavanje korupcije.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godišnje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Redovna kontrola evidencije o primljenim poklonima direktora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4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4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4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1.7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strateško planiranje rada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Podjela radnih zadataka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4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Odstupanje u sprovođenju strategije razvoja ustanove, programa i plana rada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15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Izvještavanje o sprovođenju strategije razvoja, mjerama za unapređenje i  poboljšanje rada ustanove prema planu razvoja.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školski odbor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Razmatranje preporuka koje se odnose na razvojni  plan ustanove.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školski odbor</w:t>
                        </w: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44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4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1.8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4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Nedovoljno jasna podjela i razgraničenja sistema kontrole i vršenja ovlašćenja zbog velike koncentracije zadataka na samo jednoj osobi;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Učiniti prepoznatljivim i transparetnim rad i aktivnosti prilikom donošenja odluka i izrade mišljenja;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7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27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27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1.8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27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Nedovoljno jasna podjela i razgraničenja sistema kontrole i vršenja ovlašćenja zbog velike koncentracije zadataka na samo jednoj osobi;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Uspostaviti  kriterijume za objektivnu ocjenu rada;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18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1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1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1.9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nesavjesno pružanje savjetodavne pomoći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1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Nedovoljno jasna podjela i razgraničenja sistema kontrole i vršenja ovlašćenja zbog velike koncentracije zadataka na samo jednoj osobi;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Jasno definisanje odgovornosti zaposlenih;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↓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Uspostaviti jasne procedure o radu (donijeti smjernice, pravilnike i upustva);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6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1.10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Rukovođenje i upravljanje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Nezakonito učestvovanje u izradi i pripemi podzakonskih akata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Nedovoljno jasna podjela i ragaraničenja sistema kontrole i vršenja ovlašćenja zbog velike koncentracije zadataka na samo jednoj osobi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Učiniti prepoznatljivim i transparetnim rad i aktivnosti prilikom donošenja odluka i izrade mišljenja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8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Uspostaviti  kriterijume za objektivnu ocjenu rada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4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4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3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ostali zaposleni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4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Nedovoljno jasna podjela i razgraničenje sistema vršenja i kontrole zadataka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Učiniti prepoznatljivim i transparentnim rad svih zaposlenih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90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90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90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Neprijavljivanje korupcije i drugih nezakonitih radnji;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90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Nedovoljano razvijen nivo svijesti za prijavljivanje korupcije i drugih nepravilnosti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842"/>
                    <w:gridCol w:w="958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Uvesti periodičnu obavezu da prevencija korupcije bude tema sastanaka i razgovora;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842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95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5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Redovna kontrola evidencije o primljenim poklonima direktora.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Zaštita zaposlenih koji prijavljuju korupciju ili druge nepravilnosti ili procese koji mogu sadržati rizike od korupcije ili neetično ponašanje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842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Održati  periodične radionice  u organizaciji  pedagoga  na temu Etično i profesionalno ponašanje zaposlenih kojima će prisustvovati svi zaposleni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pedagog</w:t>
                        </w:r>
                      </w:p>
                    </w:tc>
                    <w:tc>
                      <w:tcPr>
                        <w:tcW w:w="842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polugodišnje</w:t>
                        </w: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za evidenciju prijava korupcije unutar ustanove i postupanje po prijavama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842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godišnje</w:t>
                        </w: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2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2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neažurno obavljanje povjerenih poslova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2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razvijen nivo svijesti za blagovremeno i ažurno obavljanje povjerenih poslova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842"/>
                    <w:gridCol w:w="958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 Izraditi i usvojiti  procedure kojima će se jasno definisati odgovornost svih zaposlenih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842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958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pedagog</w:t>
                        </w: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5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42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58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68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6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6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Neblagovremeno i neažurno obavljanje povjerenih poslova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6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Nedovoljno razvijen nivo svijesti za blagovremeno i ažurno obavljanje povjerenih poslova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Održati  periodične radionice  u organizaciji psihologa na temu Etično i profesionalno ponašanje zaposlenih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polugodišnje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psiholog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49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49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49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zapošljavanja i sprovođenje procedure zapošljavanja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49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Transparentan proces planiranja zapošljavanja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Učiniti prepoznatljivim i transparetnim rad i aktivnosti prilikom donošenja odluka i izrade mišljenja;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7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Jasno definisanje odgovornosti zaposlenih;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Uspostaviti jasne procedure o radu (donijeti smjernice, pravilnike i upustva);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godišnje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44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44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44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poklona i odsustvo evidencije poklona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44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 i neažurno vođenje evidencije o poklonima 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Održati  periodične radionice  u organizaciji psihologa na temu Etično i profesionalno ponašanje zaposlenih 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polugodišnje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psiholog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Dostaviti Agenciji za sprečevanje korupcije u martu tekuće godine pisani Izvještaj o primljenim poklonima, sponzorstvima i donacijama za predhodnu godinu.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godišnje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68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6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6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Neprijavljivanje poklona i odsustvo evidencije poklona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6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Primanje poklona suprotno odredbama Zakona i neažurno vođenje evidencije o poklonima 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za evidenciju prijave poklona unutar ustanove i postupati po njima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71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71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70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2.6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Kadrovska politika, etično i 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svi zaposleni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po prijavama zviždača i narušavanje zaštite identiteta i prava zviždača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sprječavanju korupcije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71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Neimenovanje zviždača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Neadekvatna zaštita zviždača od svih oblika diskriminacije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Donijeti interno uputstvo za evidenciju prijava korupcije unutar ustanove i postupanje po prijavama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↑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ostali zaposleni 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Zaštia zaposlenih koji prijavljuju korupciju ili druge nepravilnosti ili procese koji mogu sadržati rizike od korupcije ili neetično ponašanje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ostali zaposleni 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zaštitu zviždača od svih oblika diskriminacije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Obaviještavati  zviždača o mjerama  koje su preduzete po prijavama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28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22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22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službenog položaja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Interne i eksterne kontrole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22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Neracionalno planiranje I zloupotreba trošenja budžetskih sredstava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Jačanje transparentnosti raspolaganja budžetskim sredstvima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6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7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72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70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službenog položaja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Interne i eksterne kontrole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72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Neracionalno planiranje I zloupotreba trošenja budžetskih sredstava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3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20"/>
                    </w:trPr>
                    <w:tc>
                      <w:tcPr>
                        <w:tcW w:w="3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20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20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finansijskih ovlašćenja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20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Nepravilni  finansijski  izvještaji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Jačanje transparentnosti raspolaganja budžetskim sredstvima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Kontrola podnošenja Izvještaja o imovini i prihodima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24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22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22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Nepravilno finansijsko izvještavanje i vođenje evidencije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22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budžetska sredstva;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Finansijski izvještaji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Jačanje transparentnosti raspolaganja budžetskim sredstvima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Kontrola podnošenja Izvještaja o imovini i prihodima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8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5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školski odbor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11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Nesavjesno planiranje javnih nabavki, izrada i zaključivanje ugovora o javnim nabavkama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 o javnim nabavkama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Pojačan stručni nadzor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Neracionalno planiranje I zloupotreba sprovođenja javnih nabavki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6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Kontrola podnošenja Izvještaja o javnim nabavkama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Edukacija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službenik za javne nabavke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45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4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4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4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Finansijski izvještaji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Neracionalno trošenje budžetskih sredstava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Sukob interesa u postupku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Jasno definisanje odgovornosti zaposlenih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Jačanje transparentnosti raspolaganja budžetskim sredstvima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8" w:name="JR_PAGE_ANCHOR_0_8"/>
            <w:bookmarkEnd w:id="8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2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2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2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3.6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Planiranje i upravljanje finansijama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računovođa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Sukob interesa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Obaveza sastavljanja izvještaja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2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Finansijski izvještaji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Neracionalno trošenje budžetskih sredstava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Sukob interesa u postupku javnih nabavki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84"/>
                    <w:gridCol w:w="816"/>
                    <w:gridCol w:w="1200"/>
                  </w:tblGrid>
                  <w:tr w:rsidR="008817DB" w:rsidTr="008125C7">
                    <w:trPr>
                      <w:trHeight w:hRule="exact" w:val="1260"/>
                    </w:trPr>
                    <w:tc>
                      <w:tcPr>
                        <w:tcW w:w="43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0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0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29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čuvanja i upotrebe pečata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0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Neadekvatno postupanje sa službenom dokumentacijom zbog nedovoljnih mjera bezbjednosti i tehničke sigurnosti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12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Izrada i primjena uputstva o pravilnom čuvanju i upotrebi pečata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Izrada i primjena uputstva o pravilnom čuvanju i vođenju  dokumentacije.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08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08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06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službenih podataka i informacija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pravila i procedure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08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Pristup poadacima od strane neovlašćenih lica,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Neadekvatno postupanje sa službenom dokumentacijom i informacijama zbog nedovoljnih mjera bezbjednosti i tehničke sigurnosti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984"/>
                    <w:gridCol w:w="816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Izrada i primjena baza podataka o čuvanju dokumenata i njihovoj bezbjednosti;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6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Jačanje transparentnosti rada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984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984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84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816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7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7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6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Nepravilno vođenje kadrovske evidencije i nepravilno arhiviranje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pravila i procedure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7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Pristup podacima od strane neovlašćenih lica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Neadekvatno postupanje sa službenom dokumentacijom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Izrada i primjena baza podataka o čuvanju dokumenata i njihovoj bezbjednosti;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Pravilno vođenje kadrovske evidencije, rukovanje i čuvanje pečata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9" w:name="JR_PAGE_ANCHOR_0_9"/>
            <w:bookmarkEnd w:id="9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36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36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34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Nepravilno vođenje kadrovske evidencije i nepravilno arhiviranje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pravila i procedure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36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Pristup podacima od strane neovlašćenih lica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 xml:space="preserve">Neadekvatno postupanje sa službenom dokumentacijom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Na osnovu liste kategorija izrada Pravilnika o arhiviranju 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04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4.4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Nepravilno I netačno vođenje evidencije o učenicima;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Opšti zakon o obrazovanju i vaspitanju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pravila i procedure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0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Pristup poadacima od strane neovlašćenih lica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Izrada i primjena baza podataka o čuvanju dokumenata i njihovoj bezbjednosti;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Pravilno vođenje evidencije o učenicima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sekretar</w:t>
                        </w: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04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4.5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Čuvanje i bezbjednost podataka i dokumenata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Zloupotreba službenih podataka i informacija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pravila i procedure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Edukacija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0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Pristup poadacima od strane neovlašćenih lica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9900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narandzasta"/>
                                      <w:jc w:val="center"/>
                                    </w:pPr>
                                    <w: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Pravilno vođenje evidencije o učenicima i pedagoške dokumentacije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Jačanje transparentnosti,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6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6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5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Vannastavne aktivnosti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Neetično i neprofesionalno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roditelja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6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Neprofesionalno ponašanje  u organizaciji izleta, takmičenja, kao I neracionalno trošenje finansijskih sredstava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Detaljno isplanirati vannastavne aktivnosti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Omogućiti roditeljima učenika uvid u način organizacije izleta, plan putovanja na takmičenja i trošenja novčanih sredstava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polugodišnje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4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5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10" w:name="JR_PAGE_ANCHOR_0_10"/>
            <w:bookmarkEnd w:id="10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15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15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14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5.1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Vannastavne aktivnosti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7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Neetično i neprofesionalno ponašanje zaposlenih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Interna akta institucije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Etički kodeks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Savjet roditelja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15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Neprofesionalno ponašanje  u organizaciji izleta, takmičenja, kao I neracionalno trošenje finansijskih sredstava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Obezbijediti uslove za fizičko obezbjeđenje imovine.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1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47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47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46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6.1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 sa javnošću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Nedozvoljeno lobiranje ili drugi nejavni uticaj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47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ustanove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Odrediti službenika za odnose sa javnošću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Prezentovati uspjeh škole u medijima i na društvenim mrežama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kvartalno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ažurirati sajt škole</w:t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ICT kordinator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2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470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470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468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6.2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 sa javnošću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54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Narušavanje integriteta institucije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470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ustanove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Odrediti službenika za odnose sa javnošću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Redovno ažurirati sajt škole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kontinuirano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ICT kordinator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Prezentovati uspjeh škole u medijima i na društvenim mrežama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 w:righ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4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pomoćnik direktora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8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c>
          <w:tcPr>
            <w:tcW w:w="40" w:type="dxa"/>
          </w:tcPr>
          <w:p w:rsidR="008817DB" w:rsidRDefault="008817DB">
            <w:pPr>
              <w:pStyle w:val="EMPTYCELLSTYLE"/>
              <w:pageBreakBefore/>
            </w:pPr>
            <w:bookmarkStart w:id="11" w:name="JR_PAGE_ANCHOR_0_11"/>
            <w:bookmarkEnd w:id="11"/>
          </w:p>
        </w:tc>
        <w:tc>
          <w:tcPr>
            <w:tcW w:w="15695" w:type="dxa"/>
            <w:gridSpan w:val="13"/>
          </w:tcPr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  <w:tr w:rsidR="008817DB" w:rsidTr="008125C7">
        <w:trPr>
          <w:trHeight w:hRule="exact" w:val="3040"/>
        </w:trPr>
        <w:tc>
          <w:tcPr>
            <w:tcW w:w="40" w:type="dxa"/>
          </w:tcPr>
          <w:p w:rsidR="008817DB" w:rsidRDefault="008817DB">
            <w:pPr>
              <w:pStyle w:val="EMPTYCELLSTYLE"/>
            </w:pPr>
          </w:p>
        </w:tc>
        <w:tc>
          <w:tcPr>
            <w:tcW w:w="156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0"/>
              <w:gridCol w:w="1600"/>
              <w:gridCol w:w="1600"/>
              <w:gridCol w:w="1600"/>
              <w:gridCol w:w="2000"/>
              <w:gridCol w:w="1200"/>
              <w:gridCol w:w="6400"/>
            </w:tblGrid>
            <w:tr w:rsidR="008817DB">
              <w:trPr>
                <w:trHeight w:hRule="exact" w:val="3040"/>
              </w:trPr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200"/>
                  </w:tblGrid>
                  <w:tr w:rsidR="008817DB">
                    <w:trPr>
                      <w:trHeight w:hRule="exact" w:val="3020"/>
                    </w:trPr>
                    <w:tc>
                      <w:tcPr>
                        <w:tcW w:w="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</w:rPr>
                          <w:t>6.3</w:t>
                        </w:r>
                      </w:p>
                    </w:tc>
                    <w:tc>
                      <w:tcPr>
                        <w:tcW w:w="1200" w:type="dxa"/>
                        <w:tcMar>
                          <w:top w:w="0" w:type="dxa"/>
                          <w:left w:w="0" w:type="dxa"/>
                          <w:bottom w:w="20" w:type="dxa"/>
                          <w:right w:w="0" w:type="dxa"/>
                        </w:tcMar>
                      </w:tcPr>
                      <w:p w:rsidR="008817DB" w:rsidRDefault="000E7286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Odnos sa javnošću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</w:tr>
                  <w:tr w:rsidR="008817DB">
                    <w:trPr>
                      <w:trHeight w:hRule="exact" w:val="30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92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Gubitak povjerenja roditelja  I građana u rad zaposlenih I kvalitet rada ustanove 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0"/>
                  </w:tblGrid>
                  <w:tr w:rsidR="008817DB">
                    <w:trPr>
                      <w:trHeight w:hRule="exact" w:val="360"/>
                    </w:trPr>
                    <w:tc>
                      <w:tcPr>
                        <w:tcW w:w="16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Zakoni i podzakonska akta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20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</w:tblGrid>
                  <w:tr w:rsidR="008817DB">
                    <w:trPr>
                      <w:trHeight w:hRule="exact" w:val="3040"/>
                    </w:trPr>
                    <w:tc>
                      <w:tcPr>
                        <w:tcW w:w="20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Nedovoljna informisanost javnosti o radu ustanove</w:t>
                        </w: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</w:tblGrid>
                  <w:tr w:rsidR="008817DB">
                    <w:trPr>
                      <w:trHeight w:hRule="exact" w:val="620"/>
                    </w:trPr>
                    <w:tc>
                      <w:tcPr>
                        <w:tcW w:w="12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  <w:gridCol w:w="400"/>
                          <w:gridCol w:w="400"/>
                        </w:tblGrid>
                        <w:tr w:rsidR="008817DB">
                          <w:trPr>
                            <w:trHeight w:hRule="exact" w:val="620"/>
                          </w:trPr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  <w:tc>
                            <w:tcPr>
                              <w:tcW w:w="40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10" w:type="dxa"/>
                                  <w:right w:w="1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00"/>
                              </w:tblGrid>
                              <w:tr w:rsidR="008817DB">
                                <w:trPr>
                                  <w:trHeight w:hRule="exact" w:val="620"/>
                                </w:trPr>
                                <w:tc>
                                  <w:tcPr>
                                    <w:tcW w:w="400" w:type="dxa"/>
                                    <w:shd w:val="clear" w:color="auto" w:fill="77ED38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8817DB" w:rsidRDefault="000E7286">
                                    <w:pPr>
                                      <w:pStyle w:val="zelena"/>
                                      <w:jc w:val="center"/>
                                    </w:pPr>
                                    <w: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8817DB" w:rsidRDefault="008817DB">
                              <w:pPr>
                                <w:pStyle w:val="EMPTYCELLSTYLE"/>
                              </w:pP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  <w:tc>
                <w:tcPr>
                  <w:tcW w:w="6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640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0"/>
                    <w:gridCol w:w="1400"/>
                    <w:gridCol w:w="1125"/>
                    <w:gridCol w:w="675"/>
                    <w:gridCol w:w="1200"/>
                  </w:tblGrid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 xml:space="preserve">Odrediti službenika za odnose sa javnošću 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 w:right="40"/>
                        </w:pPr>
                      </w:p>
                    </w:tc>
                    <w:tc>
                      <w:tcPr>
                        <w:tcW w:w="675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"/>
                        </w:tblGrid>
                        <w:tr w:rsidR="008817DB">
                          <w:trPr>
                            <w:trHeight w:hRule="exact" w:val="600"/>
                          </w:trPr>
                          <w:tc>
                            <w:tcPr>
                              <w:tcW w:w="400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8817DB" w:rsidRDefault="000E7286">
                              <w:pPr>
                                <w:jc w:val="center"/>
                              </w:pPr>
                              <w:r>
                                <w:rPr>
                                  <w:rFonts w:ascii="DejaVu Sans" w:eastAsia="DejaVu Sans" w:hAnsi="DejaVu Sans" w:cs="DejaVu Sans"/>
                                  <w:color w:val="000000"/>
                                </w:rPr>
                                <w:t>↔</w:t>
                              </w:r>
                            </w:p>
                          </w:tc>
                        </w:tr>
                      </w:tbl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  <w:t>Prezentovati uspjeh škole u medijima i na društvenim mrežama</w:t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direktor</w:t>
                        </w:r>
                      </w:p>
                    </w:tc>
                    <w:tc>
                      <w:tcPr>
                        <w:tcW w:w="1125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kvartalno</w:t>
                        </w: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 w:val="restar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br/>
                        </w: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0E7286">
                        <w:pPr>
                          <w:ind w:left="40" w:right="40"/>
                        </w:pPr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nastavnik</w:t>
                        </w: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  <w:vMerge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1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0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ind w:left="40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  <w:tr w:rsidR="008817DB" w:rsidTr="008125C7">
                    <w:trPr>
                      <w:trHeight w:hRule="exact" w:val="320"/>
                    </w:trPr>
                    <w:tc>
                      <w:tcPr>
                        <w:tcW w:w="20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4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125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675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1200" w:type="dxa"/>
                      </w:tcPr>
                      <w:p w:rsidR="008817DB" w:rsidRDefault="008817DB">
                        <w:pPr>
                          <w:pStyle w:val="EMPTYCELLSTYLE"/>
                        </w:pPr>
                      </w:p>
                    </w:tc>
                  </w:tr>
                </w:tbl>
                <w:p w:rsidR="008817DB" w:rsidRDefault="008817DB">
                  <w:pPr>
                    <w:pStyle w:val="EMPTYCELLSTYLE"/>
                  </w:pPr>
                </w:p>
              </w:tc>
            </w:tr>
          </w:tbl>
          <w:p w:rsidR="008817DB" w:rsidRDefault="008817DB">
            <w:pPr>
              <w:pStyle w:val="EMPTYCELLSTYLE"/>
            </w:pPr>
          </w:p>
        </w:tc>
        <w:tc>
          <w:tcPr>
            <w:tcW w:w="345" w:type="dxa"/>
          </w:tcPr>
          <w:p w:rsidR="008817DB" w:rsidRDefault="008817DB">
            <w:pPr>
              <w:pStyle w:val="EMPTYCELLSTYLE"/>
            </w:pPr>
          </w:p>
        </w:tc>
      </w:tr>
    </w:tbl>
    <w:p w:rsidR="000E7286" w:rsidRDefault="000E7286"/>
    <w:sectPr w:rsidR="000E7286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DB"/>
    <w:rsid w:val="000E7286"/>
    <w:rsid w:val="006D6725"/>
    <w:rsid w:val="007A3D27"/>
    <w:rsid w:val="008125C7"/>
    <w:rsid w:val="008817DB"/>
    <w:rsid w:val="00C31505"/>
    <w:rsid w:val="00D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D6995-5E43-4ECC-91BF-F3C8E0CC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narandzasta">
    <w:name w:val="narandzasta"/>
    <w:qFormat/>
    <w:rPr>
      <w:rFonts w:ascii="SansSerif" w:eastAsia="SansSerif" w:hAnsi="SansSerif" w:cs="SansSerif"/>
      <w:color w:val="000000"/>
    </w:rPr>
  </w:style>
  <w:style w:type="paragraph" w:customStyle="1" w:styleId="zelena">
    <w:name w:val="zelena"/>
    <w:qFormat/>
    <w:rPr>
      <w:rFonts w:ascii="SansSerif" w:eastAsia="SansSerif" w:hAnsi="SansSerif" w:cs="SansSerif"/>
      <w:color w:val="000000"/>
    </w:rPr>
  </w:style>
  <w:style w:type="paragraph" w:customStyle="1" w:styleId="crvena">
    <w:name w:val="crvena"/>
    <w:qFormat/>
    <w:rPr>
      <w:rFonts w:ascii="SansSerif" w:eastAsia="SansSerif" w:hAnsi="SansSerif" w:cs="SansSerif"/>
      <w:color w:val="000000"/>
    </w:rPr>
  </w:style>
  <w:style w:type="paragraph" w:customStyle="1" w:styleId="Style1">
    <w:name w:val="Style1"/>
    <w:qFormat/>
    <w:rPr>
      <w:rFonts w:ascii="SansSerif" w:eastAsia="SansSerif" w:hAnsi="SansSerif" w:cs="SansSerif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5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LjB</dc:creator>
  <cp:lastModifiedBy>LjB</cp:lastModifiedBy>
  <cp:revision>2</cp:revision>
  <cp:lastPrinted>2022-09-30T10:27:00Z</cp:lastPrinted>
  <dcterms:created xsi:type="dcterms:W3CDTF">2024-09-19T09:20:00Z</dcterms:created>
  <dcterms:modified xsi:type="dcterms:W3CDTF">2024-09-19T09:20:00Z</dcterms:modified>
</cp:coreProperties>
</file>